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黑体" w:eastAsia="方正小标宋简体"/>
          <w:bCs/>
          <w:color w:val="000000" w:themeColor="text1"/>
          <w:sz w:val="44"/>
          <w:szCs w:val="44"/>
          <w14:textFill>
            <w14:solidFill>
              <w14:schemeClr w14:val="tx1"/>
            </w14:solidFill>
          </w14:textFill>
        </w:rPr>
      </w:pPr>
      <w:r>
        <w:rPr>
          <w:rFonts w:hint="eastAsia" w:ascii="方正小标宋简体" w:hAnsi="黑体" w:eastAsia="方正小标宋简体"/>
          <w:bCs/>
          <w:color w:val="000000" w:themeColor="text1"/>
          <w:sz w:val="44"/>
          <w:szCs w:val="44"/>
          <w14:textFill>
            <w14:solidFill>
              <w14:schemeClr w14:val="tx1"/>
            </w14:solidFill>
          </w14:textFill>
        </w:rPr>
        <w:t>山丹县第二中学202</w:t>
      </w:r>
      <w:r>
        <w:rPr>
          <w:rFonts w:hint="eastAsia" w:ascii="方正小标宋简体" w:hAnsi="黑体" w:eastAsia="方正小标宋简体"/>
          <w:bCs/>
          <w:color w:val="000000" w:themeColor="text1"/>
          <w:sz w:val="44"/>
          <w:szCs w:val="44"/>
          <w:lang w:val="en-US" w:eastAsia="zh-CN"/>
          <w14:textFill>
            <w14:solidFill>
              <w14:schemeClr w14:val="tx1"/>
            </w14:solidFill>
          </w14:textFill>
        </w:rPr>
        <w:t>3</w:t>
      </w:r>
      <w:r>
        <w:rPr>
          <w:rFonts w:hint="eastAsia" w:ascii="方正小标宋简体" w:hAnsi="黑体" w:eastAsia="方正小标宋简体"/>
          <w:bCs/>
          <w:color w:val="000000" w:themeColor="text1"/>
          <w:sz w:val="44"/>
          <w:szCs w:val="44"/>
          <w14:textFill>
            <w14:solidFill>
              <w14:schemeClr w14:val="tx1"/>
            </w14:solidFill>
          </w14:textFill>
        </w:rPr>
        <w:t>年部门预算公开说明</w:t>
      </w:r>
    </w:p>
    <w:p>
      <w:pPr>
        <w:spacing w:line="540" w:lineRule="exact"/>
        <w:jc w:val="center"/>
        <w:rPr>
          <w:rFonts w:ascii="方正小标宋简体" w:hAnsi="黑体" w:eastAsia="方正小标宋简体"/>
          <w:bCs/>
          <w:color w:val="000000" w:themeColor="text1"/>
          <w:sz w:val="44"/>
          <w:szCs w:val="44"/>
          <w14:textFill>
            <w14:solidFill>
              <w14:schemeClr w14:val="tx1"/>
            </w14:solidFill>
          </w14:textFill>
        </w:rPr>
      </w:pPr>
    </w:p>
    <w:p>
      <w:pPr>
        <w:spacing w:line="576" w:lineRule="exact"/>
        <w:ind w:firstLine="640" w:firstLineChars="200"/>
        <w:jc w:val="left"/>
        <w:rPr>
          <w:rFonts w:ascii="仿宋_GB2312" w:hAnsi="黑体" w:eastAsia="仿宋_GB2312"/>
          <w:bCs/>
          <w:color w:val="000000" w:themeColor="text1"/>
          <w:sz w:val="32"/>
          <w:szCs w:val="32"/>
          <w14:textFill>
            <w14:solidFill>
              <w14:schemeClr w14:val="tx1"/>
            </w14:solidFill>
          </w14:textFill>
        </w:rPr>
      </w:pPr>
      <w:r>
        <w:rPr>
          <w:rFonts w:hint="eastAsia" w:ascii="仿宋_GB2312" w:hAnsi="黑体" w:eastAsia="仿宋_GB2312"/>
          <w:bCs/>
          <w:color w:val="000000" w:themeColor="text1"/>
          <w:sz w:val="32"/>
          <w:szCs w:val="32"/>
          <w14:textFill>
            <w14:solidFill>
              <w14:schemeClr w14:val="tx1"/>
            </w14:solidFill>
          </w14:textFill>
        </w:rPr>
        <w:t>按照《预算法》、《地方预决算公开操作规程》、《中共甘肃省委办公厅 甘肃省人民政府办公厅关于进一步推进预算公开工作的实施方案》，现将202</w:t>
      </w:r>
      <w:r>
        <w:rPr>
          <w:rFonts w:hint="eastAsia" w:ascii="仿宋_GB2312" w:hAnsi="黑体" w:eastAsia="仿宋_GB2312"/>
          <w:bCs/>
          <w:color w:val="000000" w:themeColor="text1"/>
          <w:sz w:val="32"/>
          <w:szCs w:val="32"/>
          <w:lang w:val="en-US" w:eastAsia="zh-CN"/>
          <w14:textFill>
            <w14:solidFill>
              <w14:schemeClr w14:val="tx1"/>
            </w14:solidFill>
          </w14:textFill>
        </w:rPr>
        <w:t>3</w:t>
      </w:r>
      <w:r>
        <w:rPr>
          <w:rFonts w:hint="eastAsia" w:ascii="仿宋_GB2312" w:hAnsi="黑体" w:eastAsia="仿宋_GB2312"/>
          <w:bCs/>
          <w:color w:val="000000" w:themeColor="text1"/>
          <w:sz w:val="32"/>
          <w:szCs w:val="32"/>
          <w14:textFill>
            <w14:solidFill>
              <w14:schemeClr w14:val="tx1"/>
            </w14:solidFill>
          </w14:textFill>
        </w:rPr>
        <w:t>年部门预算公开如下：</w:t>
      </w:r>
    </w:p>
    <w:p>
      <w:pPr>
        <w:spacing w:line="576" w:lineRule="exact"/>
        <w:ind w:firstLine="640" w:firstLineChars="200"/>
        <w:rPr>
          <w:rFonts w:ascii="黑体" w:hAnsi="黑体" w:eastAsia="黑体"/>
          <w:bCs/>
          <w:color w:val="000000" w:themeColor="text1"/>
          <w:sz w:val="32"/>
          <w:szCs w:val="32"/>
          <w14:textFill>
            <w14:solidFill>
              <w14:schemeClr w14:val="tx1"/>
            </w14:solidFill>
          </w14:textFill>
        </w:rPr>
      </w:pPr>
      <w:r>
        <w:rPr>
          <w:rFonts w:ascii="黑体" w:hAnsi="黑体" w:eastAsia="黑体"/>
          <w:bCs/>
          <w:color w:val="000000" w:themeColor="text1"/>
          <w:sz w:val="32"/>
          <w:szCs w:val="32"/>
          <w14:textFill>
            <w14:solidFill>
              <w14:schemeClr w14:val="tx1"/>
            </w14:solidFill>
          </w14:textFill>
        </w:rPr>
        <w:t>一、部门职责</w:t>
      </w:r>
    </w:p>
    <w:p>
      <w:pPr>
        <w:widowControl/>
        <w:spacing w:before="150" w:after="150" w:line="576" w:lineRule="exact"/>
        <w:ind w:firstLine="640" w:firstLineChars="200"/>
        <w:rPr>
          <w:rFonts w:hint="eastAsia" w:ascii="仿宋_GB2312" w:eastAsia="仿宋_GB2312"/>
          <w:sz w:val="32"/>
          <w:szCs w:val="32"/>
        </w:rPr>
      </w:pPr>
      <w:r>
        <w:rPr>
          <w:rFonts w:hint="eastAsia" w:ascii="仿宋_GB2312" w:eastAsia="仿宋_GB2312"/>
          <w:sz w:val="32"/>
          <w:szCs w:val="32"/>
        </w:rPr>
        <w:t>贯彻执行党和国家的教育方针，政策和法令，执行上级党委、教育行政部门的决定，坚持学校的社会主义办学方向，按照教育方针，遵循教育规律，确立学校办学目标，制定近、远期学校发展规划。　</w:t>
      </w:r>
    </w:p>
    <w:p>
      <w:pPr>
        <w:widowControl/>
        <w:spacing w:before="150" w:after="150" w:line="576" w:lineRule="exact"/>
        <w:ind w:firstLine="640" w:firstLineChars="200"/>
        <w:rPr>
          <w:rFonts w:ascii="黑体" w:hAnsi="黑体" w:eastAsia="黑体"/>
          <w:bCs/>
          <w:color w:val="000000" w:themeColor="text1"/>
          <w:sz w:val="32"/>
          <w:szCs w:val="32"/>
          <w14:textFill>
            <w14:solidFill>
              <w14:schemeClr w14:val="tx1"/>
            </w14:solidFill>
          </w14:textFill>
        </w:rPr>
      </w:pPr>
      <w:r>
        <w:rPr>
          <w:rFonts w:ascii="黑体" w:hAnsi="黑体" w:eastAsia="黑体"/>
          <w:bCs/>
          <w:color w:val="000000" w:themeColor="text1"/>
          <w:sz w:val="32"/>
          <w:szCs w:val="32"/>
          <w14:textFill>
            <w14:solidFill>
              <w14:schemeClr w14:val="tx1"/>
            </w14:solidFill>
          </w14:textFill>
        </w:rPr>
        <w:t>二、机构设置</w:t>
      </w:r>
    </w:p>
    <w:p>
      <w:pPr>
        <w:widowControl/>
        <w:spacing w:before="150" w:after="150" w:line="576" w:lineRule="exact"/>
        <w:ind w:firstLine="480"/>
        <w:rPr>
          <w:rFonts w:ascii="楷体_GB2312" w:hAnsi="黑体" w:eastAsia="楷体_GB2312"/>
          <w:bCs/>
          <w:color w:val="000000" w:themeColor="text1"/>
          <w:sz w:val="32"/>
          <w:szCs w:val="32"/>
          <w14:textFill>
            <w14:solidFill>
              <w14:schemeClr w14:val="tx1"/>
            </w14:solidFill>
          </w14:textFill>
        </w:rPr>
      </w:pPr>
      <w:r>
        <w:rPr>
          <w:rFonts w:hint="eastAsia" w:ascii="楷体_GB2312" w:hAnsi="黑体" w:eastAsia="楷体_GB2312"/>
          <w:bCs/>
          <w:color w:val="000000" w:themeColor="text1"/>
          <w:sz w:val="32"/>
          <w:szCs w:val="32"/>
          <w14:textFill>
            <w14:solidFill>
              <w14:schemeClr w14:val="tx1"/>
            </w14:solidFill>
          </w14:textFill>
        </w:rPr>
        <w:t>（一）机关内设机构</w:t>
      </w:r>
    </w:p>
    <w:p>
      <w:pPr>
        <w:widowControl/>
        <w:spacing w:before="150" w:after="150" w:line="576" w:lineRule="exact"/>
        <w:ind w:firstLine="640" w:firstLineChars="200"/>
        <w:rPr>
          <w:rFonts w:ascii="仿宋_GB2312" w:hAnsi="黑体" w:eastAsia="仿宋_GB2312"/>
          <w:bCs/>
          <w:color w:val="000000" w:themeColor="text1"/>
          <w:sz w:val="32"/>
          <w:szCs w:val="32"/>
          <w14:textFill>
            <w14:solidFill>
              <w14:schemeClr w14:val="tx1"/>
            </w14:solidFill>
          </w14:textFill>
        </w:rPr>
      </w:pPr>
      <w:r>
        <w:rPr>
          <w:rFonts w:hint="eastAsia" w:ascii="仿宋_GB2312" w:hAnsi="黑体" w:eastAsia="仿宋_GB2312"/>
          <w:bCs/>
          <w:color w:val="000000" w:themeColor="text1"/>
          <w:sz w:val="32"/>
          <w:szCs w:val="32"/>
          <w14:textFill>
            <w14:solidFill>
              <w14:schemeClr w14:val="tx1"/>
            </w14:solidFill>
          </w14:textFill>
        </w:rPr>
        <w:t>山丹县第二中学</w:t>
      </w:r>
      <w:r>
        <w:rPr>
          <w:rFonts w:ascii="仿宋_GB2312" w:hAnsi="黑体" w:eastAsia="仿宋_GB2312"/>
          <w:bCs/>
          <w:color w:val="000000" w:themeColor="text1"/>
          <w:sz w:val="32"/>
          <w:szCs w:val="32"/>
          <w14:textFill>
            <w14:solidFill>
              <w14:schemeClr w14:val="tx1"/>
            </w14:solidFill>
          </w14:textFill>
        </w:rPr>
        <w:t>共设置内设机构</w:t>
      </w:r>
      <w:r>
        <w:rPr>
          <w:rFonts w:hint="eastAsia" w:ascii="仿宋_GB2312" w:hAnsi="黑体" w:eastAsia="仿宋_GB2312"/>
          <w:bCs/>
          <w:color w:val="000000" w:themeColor="text1"/>
          <w:sz w:val="32"/>
          <w:szCs w:val="32"/>
          <w14:textFill>
            <w14:solidFill>
              <w14:schemeClr w14:val="tx1"/>
            </w14:solidFill>
          </w14:textFill>
        </w:rPr>
        <w:t>8</w:t>
      </w:r>
      <w:r>
        <w:rPr>
          <w:rFonts w:ascii="仿宋_GB2312" w:hAnsi="黑体" w:eastAsia="仿宋_GB2312"/>
          <w:bCs/>
          <w:color w:val="000000" w:themeColor="text1"/>
          <w:sz w:val="32"/>
          <w:szCs w:val="32"/>
          <w14:textFill>
            <w14:solidFill>
              <w14:schemeClr w14:val="tx1"/>
            </w14:solidFill>
          </w14:textFill>
        </w:rPr>
        <w:t>个，分别是</w:t>
      </w:r>
      <w:r>
        <w:rPr>
          <w:rFonts w:hint="eastAsia" w:ascii="仿宋_GB2312" w:hAnsi="黑体" w:eastAsia="仿宋_GB2312"/>
          <w:bCs/>
          <w:color w:val="000000" w:themeColor="text1"/>
          <w:sz w:val="32"/>
          <w:szCs w:val="32"/>
          <w14:textFill>
            <w14:solidFill>
              <w14:schemeClr w14:val="tx1"/>
            </w14:solidFill>
          </w14:textFill>
        </w:rPr>
        <w:t>办公室</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教导处</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政教处</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总务处</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教研室</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信息技术中心</w:t>
      </w:r>
      <w:r>
        <w:rPr>
          <w:rFonts w:ascii="仿宋_GB2312" w:hAnsi="黑体" w:eastAsia="仿宋_GB2312"/>
          <w:bCs/>
          <w:color w:val="000000" w:themeColor="text1"/>
          <w:sz w:val="32"/>
          <w:szCs w:val="32"/>
          <w14:textFill>
            <w14:solidFill>
              <w14:schemeClr w14:val="tx1"/>
            </w14:solidFill>
          </w14:textFill>
        </w:rPr>
        <w:t>、</w:t>
      </w:r>
      <w:r>
        <w:rPr>
          <w:rFonts w:hint="eastAsia" w:ascii="仿宋_GB2312" w:hAnsi="黑体" w:eastAsia="仿宋_GB2312"/>
          <w:bCs/>
          <w:color w:val="000000" w:themeColor="text1"/>
          <w:sz w:val="32"/>
          <w:szCs w:val="32"/>
          <w14:textFill>
            <w14:solidFill>
              <w14:schemeClr w14:val="tx1"/>
            </w14:solidFill>
          </w14:textFill>
        </w:rPr>
        <w:t>团委、工会</w:t>
      </w:r>
      <w:r>
        <w:rPr>
          <w:rFonts w:ascii="仿宋_GB2312" w:hAnsi="黑体" w:eastAsia="仿宋_GB2312"/>
          <w:bCs/>
          <w:color w:val="000000" w:themeColor="text1"/>
          <w:sz w:val="32"/>
          <w:szCs w:val="32"/>
          <w14:textFill>
            <w14:solidFill>
              <w14:schemeClr w14:val="tx1"/>
            </w14:solidFill>
          </w14:textFill>
        </w:rPr>
        <w:t>。现有</w:t>
      </w:r>
      <w:r>
        <w:rPr>
          <w:rFonts w:hint="eastAsia" w:ascii="仿宋_GB2312" w:hAnsi="黑体" w:eastAsia="仿宋_GB2312"/>
          <w:bCs/>
          <w:color w:val="000000" w:themeColor="text1"/>
          <w:sz w:val="32"/>
          <w:szCs w:val="32"/>
          <w14:textFill>
            <w14:solidFill>
              <w14:schemeClr w14:val="tx1"/>
            </w14:solidFill>
          </w14:textFill>
        </w:rPr>
        <w:t>事业</w:t>
      </w:r>
      <w:r>
        <w:rPr>
          <w:rFonts w:ascii="仿宋_GB2312" w:hAnsi="黑体" w:eastAsia="仿宋_GB2312"/>
          <w:bCs/>
          <w:color w:val="000000" w:themeColor="text1"/>
          <w:sz w:val="32"/>
          <w:szCs w:val="32"/>
          <w14:textFill>
            <w14:solidFill>
              <w14:schemeClr w14:val="tx1"/>
            </w14:solidFill>
          </w14:textFill>
        </w:rPr>
        <w:t>编制</w:t>
      </w:r>
      <w:r>
        <w:rPr>
          <w:rFonts w:hint="eastAsia" w:ascii="仿宋_GB2312" w:hAnsi="黑体" w:eastAsia="仿宋_GB2312"/>
          <w:bCs/>
          <w:color w:val="000000" w:themeColor="text1"/>
          <w:sz w:val="32"/>
          <w:szCs w:val="32"/>
          <w14:textFill>
            <w14:solidFill>
              <w14:schemeClr w14:val="tx1"/>
            </w14:solidFill>
          </w14:textFill>
        </w:rPr>
        <w:t>13</w:t>
      </w:r>
      <w:r>
        <w:rPr>
          <w:rFonts w:hint="eastAsia" w:ascii="仿宋_GB2312" w:hAnsi="黑体" w:eastAsia="仿宋_GB2312"/>
          <w:bCs/>
          <w:color w:val="000000" w:themeColor="text1"/>
          <w:sz w:val="32"/>
          <w:szCs w:val="32"/>
          <w:lang w:val="en-US" w:eastAsia="zh-CN"/>
          <w14:textFill>
            <w14:solidFill>
              <w14:schemeClr w14:val="tx1"/>
            </w14:solidFill>
          </w14:textFill>
        </w:rPr>
        <w:t>0</w:t>
      </w:r>
      <w:r>
        <w:rPr>
          <w:rFonts w:ascii="仿宋_GB2312" w:hAnsi="黑体" w:eastAsia="仿宋_GB2312"/>
          <w:bCs/>
          <w:color w:val="000000" w:themeColor="text1"/>
          <w:sz w:val="32"/>
          <w:szCs w:val="32"/>
          <w14:textFill>
            <w14:solidFill>
              <w14:schemeClr w14:val="tx1"/>
            </w14:solidFill>
          </w14:textFill>
        </w:rPr>
        <w:t>名，</w:t>
      </w:r>
      <w:r>
        <w:rPr>
          <w:rFonts w:hint="eastAsia" w:ascii="仿宋_GB2312" w:hAnsi="黑体" w:eastAsia="仿宋_GB2312"/>
          <w:bCs/>
          <w:color w:val="000000" w:themeColor="text1"/>
          <w:sz w:val="32"/>
          <w:szCs w:val="32"/>
          <w14:textFill>
            <w14:solidFill>
              <w14:schemeClr w14:val="tx1"/>
            </w14:solidFill>
          </w14:textFill>
        </w:rPr>
        <w:t>事业</w:t>
      </w:r>
      <w:r>
        <w:rPr>
          <w:rFonts w:ascii="仿宋_GB2312" w:hAnsi="黑体" w:eastAsia="仿宋_GB2312"/>
          <w:bCs/>
          <w:color w:val="000000" w:themeColor="text1"/>
          <w:sz w:val="32"/>
          <w:szCs w:val="32"/>
          <w14:textFill>
            <w14:solidFill>
              <w14:schemeClr w14:val="tx1"/>
            </w14:solidFill>
          </w14:textFill>
        </w:rPr>
        <w:t>工勤编制</w:t>
      </w:r>
      <w:r>
        <w:rPr>
          <w:rFonts w:hint="eastAsia" w:ascii="仿宋_GB2312" w:hAnsi="黑体" w:eastAsia="仿宋_GB2312"/>
          <w:bCs/>
          <w:color w:val="000000" w:themeColor="text1"/>
          <w:sz w:val="32"/>
          <w:szCs w:val="32"/>
          <w14:textFill>
            <w14:solidFill>
              <w14:schemeClr w14:val="tx1"/>
            </w14:solidFill>
          </w14:textFill>
        </w:rPr>
        <w:t>1</w:t>
      </w:r>
      <w:r>
        <w:rPr>
          <w:rFonts w:ascii="仿宋_GB2312" w:hAnsi="黑体" w:eastAsia="仿宋_GB2312"/>
          <w:bCs/>
          <w:color w:val="000000" w:themeColor="text1"/>
          <w:sz w:val="32"/>
          <w:szCs w:val="32"/>
          <w14:textFill>
            <w14:solidFill>
              <w14:schemeClr w14:val="tx1"/>
            </w14:solidFill>
          </w14:textFill>
        </w:rPr>
        <w:t>名。</w:t>
      </w:r>
    </w:p>
    <w:p>
      <w:pPr>
        <w:widowControl/>
        <w:spacing w:before="150" w:after="150" w:line="576" w:lineRule="exact"/>
        <w:ind w:firstLine="480"/>
        <w:rPr>
          <w:rFonts w:ascii="楷体_GB2312" w:hAnsi="黑体" w:eastAsia="楷体_GB2312"/>
          <w:bCs/>
          <w:color w:val="000000" w:themeColor="text1"/>
          <w:sz w:val="32"/>
          <w:szCs w:val="32"/>
          <w14:textFill>
            <w14:solidFill>
              <w14:schemeClr w14:val="tx1"/>
            </w14:solidFill>
          </w14:textFill>
        </w:rPr>
      </w:pPr>
      <w:r>
        <w:rPr>
          <w:rFonts w:hint="eastAsia" w:ascii="楷体_GB2312" w:hAnsi="黑体" w:eastAsia="楷体_GB2312"/>
          <w:bCs/>
          <w:color w:val="000000" w:themeColor="text1"/>
          <w:sz w:val="32"/>
          <w:szCs w:val="32"/>
          <w14:textFill>
            <w14:solidFill>
              <w14:schemeClr w14:val="tx1"/>
            </w14:solidFill>
          </w14:textFill>
        </w:rPr>
        <w:t>（二）直属事业单位</w:t>
      </w:r>
    </w:p>
    <w:p>
      <w:pPr>
        <w:widowControl/>
        <w:spacing w:before="150" w:after="150" w:line="576" w:lineRule="exact"/>
        <w:ind w:firstLine="480"/>
        <w:rPr>
          <w:rFonts w:ascii="仿宋_GB2312" w:hAnsi="黑体" w:eastAsia="仿宋_GB2312"/>
          <w:bCs/>
          <w:color w:val="000000" w:themeColor="text1"/>
          <w:sz w:val="32"/>
          <w:szCs w:val="32"/>
          <w14:textFill>
            <w14:solidFill>
              <w14:schemeClr w14:val="tx1"/>
            </w14:solidFill>
          </w14:textFill>
        </w:rPr>
      </w:pPr>
      <w:r>
        <w:rPr>
          <w:rFonts w:hint="eastAsia" w:ascii="仿宋_GB2312" w:hAnsi="黑体" w:eastAsia="仿宋_GB2312"/>
          <w:bCs/>
          <w:color w:val="000000" w:themeColor="text1"/>
          <w:sz w:val="32"/>
          <w:szCs w:val="32"/>
          <w14:textFill>
            <w14:solidFill>
              <w14:schemeClr w14:val="tx1"/>
            </w14:solidFill>
          </w14:textFill>
        </w:rPr>
        <w:t>山丹县第二中学</w:t>
      </w:r>
      <w:r>
        <w:rPr>
          <w:rFonts w:ascii="仿宋_GB2312" w:hAnsi="黑体" w:eastAsia="仿宋_GB2312"/>
          <w:bCs/>
          <w:color w:val="000000" w:themeColor="text1"/>
          <w:sz w:val="32"/>
          <w:szCs w:val="32"/>
          <w14:textFill>
            <w14:solidFill>
              <w14:schemeClr w14:val="tx1"/>
            </w14:solidFill>
          </w14:textFill>
        </w:rPr>
        <w:t>为正科级建制事业单位，隶属</w:t>
      </w:r>
      <w:r>
        <w:rPr>
          <w:rFonts w:hint="eastAsia" w:ascii="仿宋_GB2312" w:hAnsi="黑体" w:eastAsia="仿宋_GB2312"/>
          <w:bCs/>
          <w:color w:val="000000" w:themeColor="text1"/>
          <w:sz w:val="32"/>
          <w:szCs w:val="32"/>
          <w14:textFill>
            <w14:solidFill>
              <w14:schemeClr w14:val="tx1"/>
            </w14:solidFill>
          </w14:textFill>
        </w:rPr>
        <w:t>山丹县教育局</w:t>
      </w:r>
      <w:r>
        <w:rPr>
          <w:rFonts w:ascii="仿宋_GB2312" w:hAnsi="黑体" w:eastAsia="仿宋_GB2312"/>
          <w:bCs/>
          <w:color w:val="000000" w:themeColor="text1"/>
          <w:sz w:val="32"/>
          <w:szCs w:val="32"/>
          <w14:textFill>
            <w14:solidFill>
              <w14:schemeClr w14:val="tx1"/>
            </w14:solidFill>
          </w14:textFill>
        </w:rPr>
        <w:t>管理，事业编制</w:t>
      </w:r>
      <w:r>
        <w:rPr>
          <w:rFonts w:hint="eastAsia" w:ascii="仿宋_GB2312" w:hAnsi="黑体" w:eastAsia="仿宋_GB2312"/>
          <w:bCs/>
          <w:color w:val="000000" w:themeColor="text1"/>
          <w:sz w:val="32"/>
          <w:szCs w:val="32"/>
          <w14:textFill>
            <w14:solidFill>
              <w14:schemeClr w14:val="tx1"/>
            </w14:solidFill>
          </w14:textFill>
        </w:rPr>
        <w:t>13</w:t>
      </w:r>
      <w:r>
        <w:rPr>
          <w:rFonts w:hint="eastAsia" w:ascii="仿宋_GB2312" w:hAnsi="黑体" w:eastAsia="仿宋_GB2312"/>
          <w:bCs/>
          <w:color w:val="000000" w:themeColor="text1"/>
          <w:sz w:val="32"/>
          <w:szCs w:val="32"/>
          <w:lang w:val="en-US" w:eastAsia="zh-CN"/>
          <w14:textFill>
            <w14:solidFill>
              <w14:schemeClr w14:val="tx1"/>
            </w14:solidFill>
          </w14:textFill>
        </w:rPr>
        <w:t>6</w:t>
      </w:r>
      <w:r>
        <w:rPr>
          <w:rFonts w:ascii="仿宋_GB2312" w:hAnsi="黑体" w:eastAsia="仿宋_GB2312"/>
          <w:bCs/>
          <w:color w:val="000000" w:themeColor="text1"/>
          <w:sz w:val="32"/>
          <w:szCs w:val="32"/>
          <w14:textFill>
            <w14:solidFill>
              <w14:schemeClr w14:val="tx1"/>
            </w14:solidFill>
          </w14:textFill>
        </w:rPr>
        <w:t>名。</w:t>
      </w:r>
    </w:p>
    <w:p>
      <w:pPr>
        <w:spacing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三、部门收支总体情况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按照预算管理有关规定，202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年部门收支预算情况如下：</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bCs/>
          <w:color w:val="000000" w:themeColor="text1"/>
          <w:sz w:val="32"/>
          <w:szCs w:val="32"/>
          <w14:textFill>
            <w14:solidFill>
              <w14:schemeClr w14:val="tx1"/>
            </w14:solidFill>
          </w14:textFill>
        </w:rPr>
        <w:t>（一）收入预算</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14:textFill>
            <w14:solidFill>
              <w14:schemeClr w14:val="tx1"/>
            </w14:solidFill>
          </w14:textFill>
        </w:rPr>
        <w:t>山丹县第二中学</w:t>
      </w:r>
      <w:r>
        <w:rPr>
          <w:rFonts w:ascii="仿宋" w:hAnsi="仿宋" w:eastAsia="仿宋"/>
          <w:color w:val="000000" w:themeColor="text1"/>
          <w:sz w:val="32"/>
          <w:szCs w:val="32"/>
          <w14:textFill>
            <w14:solidFill>
              <w14:schemeClr w14:val="tx1"/>
            </w14:solidFill>
          </w14:textFill>
        </w:rPr>
        <w:t>一般公共预算财政拨款收入</w:t>
      </w:r>
      <w:r>
        <w:rPr>
          <w:rFonts w:hint="eastAsia" w:ascii="仿宋" w:hAnsi="仿宋" w:eastAsia="仿宋"/>
          <w:color w:val="000000" w:themeColor="text1"/>
          <w:sz w:val="32"/>
          <w:szCs w:val="32"/>
          <w:lang w:val="en-US" w:eastAsia="zh-CN"/>
          <w14:textFill>
            <w14:solidFill>
              <w14:schemeClr w14:val="tx1"/>
            </w14:solidFill>
          </w14:textFill>
        </w:rPr>
        <w:t>2189.26</w:t>
      </w:r>
      <w:r>
        <w:rPr>
          <w:rFonts w:ascii="仿宋" w:hAnsi="仿宋" w:eastAsia="仿宋"/>
          <w:color w:val="000000" w:themeColor="text1"/>
          <w:sz w:val="32"/>
          <w:szCs w:val="32"/>
          <w14:textFill>
            <w14:solidFill>
              <w14:schemeClr w14:val="tx1"/>
            </w14:solidFill>
          </w14:textFill>
        </w:rPr>
        <w:t>万元，比202</w:t>
      </w:r>
      <w:r>
        <w:rPr>
          <w:rFonts w:hint="eastAsia" w:ascii="仿宋" w:hAnsi="仿宋" w:eastAsia="仿宋"/>
          <w:color w:val="000000" w:themeColor="text1"/>
          <w:sz w:val="32"/>
          <w:szCs w:val="32"/>
          <w:lang w:val="en-US" w:eastAsia="zh-CN"/>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年预算增加</w:t>
      </w:r>
      <w:r>
        <w:rPr>
          <w:rFonts w:hint="eastAsia" w:ascii="仿宋" w:hAnsi="仿宋" w:eastAsia="仿宋"/>
          <w:color w:val="000000" w:themeColor="text1"/>
          <w:sz w:val="32"/>
          <w:szCs w:val="32"/>
          <w:lang w:val="en-US" w:eastAsia="zh-CN"/>
          <w14:textFill>
            <w14:solidFill>
              <w14:schemeClr w14:val="tx1"/>
            </w14:solidFill>
          </w14:textFill>
        </w:rPr>
        <w:t>102.96</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val="en-US" w:eastAsia="zh-CN"/>
          <w14:textFill>
            <w14:solidFill>
              <w14:schemeClr w14:val="tx1"/>
            </w14:solidFill>
          </w14:textFill>
        </w:rPr>
        <w:t>比上年增加4.9%，</w:t>
      </w:r>
      <w:r>
        <w:rPr>
          <w:rFonts w:ascii="仿宋" w:hAnsi="仿宋" w:eastAsia="仿宋"/>
          <w:color w:val="000000" w:themeColor="text1"/>
          <w:sz w:val="32"/>
          <w:szCs w:val="32"/>
          <w14:textFill>
            <w14:solidFill>
              <w14:schemeClr w14:val="tx1"/>
            </w14:solidFill>
          </w14:textFill>
        </w:rPr>
        <w:t>增加的主要原因</w:t>
      </w:r>
      <w:r>
        <w:rPr>
          <w:rFonts w:hint="eastAsia" w:ascii="仿宋" w:hAnsi="仿宋" w:eastAsia="仿宋"/>
          <w:color w:val="000000" w:themeColor="text1"/>
          <w:sz w:val="32"/>
          <w:szCs w:val="32"/>
          <w14:textFill>
            <w14:solidFill>
              <w14:schemeClr w14:val="tx1"/>
            </w14:solidFill>
          </w14:textFill>
        </w:rPr>
        <w:t>是</w:t>
      </w:r>
      <w:r>
        <w:rPr>
          <w:rFonts w:hint="eastAsia" w:ascii="仿宋" w:hAnsi="仿宋" w:eastAsia="仿宋"/>
          <w:color w:val="000000" w:themeColor="text1"/>
          <w:sz w:val="32"/>
          <w:szCs w:val="32"/>
          <w:lang w:val="en-US" w:eastAsia="zh-CN"/>
          <w14:textFill>
            <w14:solidFill>
              <w14:schemeClr w14:val="tx1"/>
            </w14:solidFill>
          </w14:textFill>
        </w:rPr>
        <w:t>新增残疾人就业保障金</w:t>
      </w:r>
      <w:r>
        <w:rPr>
          <w:rFonts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当年的财政拨款包括：一般公共预算收入</w:t>
      </w:r>
      <w:r>
        <w:rPr>
          <w:rFonts w:ascii="仿宋" w:hAnsi="仿宋" w:eastAsia="仿宋"/>
          <w:color w:val="000000" w:themeColor="text1"/>
          <w:sz w:val="32"/>
          <w:szCs w:val="32"/>
          <w14:textFill>
            <w14:solidFill>
              <w14:schemeClr w14:val="tx1"/>
            </w14:solidFill>
          </w14:textFill>
        </w:rPr>
        <w:t>2086</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30万元</w:t>
      </w:r>
      <w:r>
        <w:rPr>
          <w:rFonts w:hint="eastAsia"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bCs/>
          <w:color w:val="000000" w:themeColor="text1"/>
          <w:sz w:val="32"/>
          <w:szCs w:val="32"/>
          <w14:textFill>
            <w14:solidFill>
              <w14:schemeClr w14:val="tx1"/>
            </w14:solidFill>
          </w14:textFill>
        </w:rPr>
        <w:t>（二）支出预算</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年度预算支出合计</w:t>
      </w:r>
      <w:r>
        <w:rPr>
          <w:rFonts w:hint="eastAsia" w:ascii="仿宋" w:hAnsi="仿宋" w:eastAsia="仿宋"/>
          <w:color w:val="000000" w:themeColor="text1"/>
          <w:sz w:val="32"/>
          <w:szCs w:val="32"/>
          <w:lang w:val="en-US" w:eastAsia="zh-CN"/>
          <w14:textFill>
            <w14:solidFill>
              <w14:schemeClr w14:val="tx1"/>
            </w14:solidFill>
          </w14:textFill>
        </w:rPr>
        <w:t>2189.26</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比202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年预算增加</w:t>
      </w:r>
      <w:r>
        <w:rPr>
          <w:rFonts w:hint="eastAsia" w:ascii="仿宋" w:hAnsi="仿宋" w:eastAsia="仿宋"/>
          <w:color w:val="000000" w:themeColor="text1"/>
          <w:sz w:val="32"/>
          <w:szCs w:val="32"/>
          <w:lang w:val="en-US" w:eastAsia="zh-CN"/>
          <w14:textFill>
            <w14:solidFill>
              <w14:schemeClr w14:val="tx1"/>
            </w14:solidFill>
          </w14:textFill>
        </w:rPr>
        <w:t>102.96</w:t>
      </w:r>
      <w:r>
        <w:rPr>
          <w:rFonts w:hint="eastAsia" w:ascii="仿宋" w:hAnsi="仿宋" w:eastAsia="仿宋"/>
          <w:color w:val="000000" w:themeColor="text1"/>
          <w:sz w:val="32"/>
          <w:szCs w:val="32"/>
          <w14:textFill>
            <w14:solidFill>
              <w14:schemeClr w14:val="tx1"/>
            </w14:solidFill>
          </w14:textFill>
        </w:rPr>
        <w:t>万元，增长</w:t>
      </w:r>
      <w:r>
        <w:rPr>
          <w:rFonts w:hint="eastAsia" w:ascii="仿宋" w:hAnsi="仿宋" w:eastAsia="仿宋"/>
          <w:color w:val="000000" w:themeColor="text1"/>
          <w:sz w:val="32"/>
          <w:szCs w:val="32"/>
          <w:lang w:val="en-US" w:eastAsia="zh-CN"/>
          <w14:textFill>
            <w14:solidFill>
              <w14:schemeClr w14:val="tx1"/>
            </w14:solidFill>
          </w14:textFill>
        </w:rPr>
        <w:t>4.9</w:t>
      </w:r>
      <w:r>
        <w:rPr>
          <w:rFonts w:hint="eastAsia" w:ascii="仿宋" w:hAnsi="仿宋" w:eastAsia="仿宋"/>
          <w:color w:val="000000" w:themeColor="text1"/>
          <w:sz w:val="32"/>
          <w:szCs w:val="32"/>
          <w14:textFill>
            <w14:solidFill>
              <w14:schemeClr w14:val="tx1"/>
            </w14:solidFill>
          </w14:textFill>
        </w:rPr>
        <w:t>%，增长的主要原因是</w:t>
      </w:r>
      <w:r>
        <w:rPr>
          <w:rFonts w:hint="eastAsia" w:ascii="仿宋" w:hAnsi="仿宋" w:eastAsia="仿宋"/>
          <w:color w:val="000000" w:themeColor="text1"/>
          <w:sz w:val="32"/>
          <w:szCs w:val="32"/>
          <w:lang w:val="en-US" w:eastAsia="zh-CN"/>
          <w14:textFill>
            <w14:solidFill>
              <w14:schemeClr w14:val="tx1"/>
            </w14:solidFill>
          </w14:textFill>
        </w:rPr>
        <w:t>新增残疾人就业保障金</w:t>
      </w:r>
      <w:r>
        <w:rPr>
          <w:rFonts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当年财政拨款主要是：</w:t>
      </w:r>
    </w:p>
    <w:p>
      <w:pPr>
        <w:spacing w:line="576" w:lineRule="exact"/>
        <w:ind w:firstLine="480" w:firstLineChars="15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1．教育支出</w:t>
      </w:r>
      <w:r>
        <w:rPr>
          <w:rFonts w:hint="eastAsia" w:ascii="仿宋" w:hAnsi="仿宋" w:eastAsia="仿宋"/>
          <w:color w:val="000000" w:themeColor="text1"/>
          <w:sz w:val="32"/>
          <w:szCs w:val="32"/>
          <w:lang w:val="en-US" w:eastAsia="zh-CN"/>
          <w14:textFill>
            <w14:solidFill>
              <w14:schemeClr w14:val="tx1"/>
            </w14:solidFill>
          </w14:textFill>
        </w:rPr>
        <w:t>1686.47</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 社会保障和就业支出</w:t>
      </w:r>
      <w:r>
        <w:rPr>
          <w:rFonts w:hint="eastAsia" w:ascii="仿宋" w:hAnsi="仿宋" w:eastAsia="仿宋"/>
          <w:color w:val="000000" w:themeColor="text1"/>
          <w:sz w:val="32"/>
          <w:szCs w:val="32"/>
          <w:lang w:val="en-US" w:eastAsia="zh-CN"/>
          <w14:textFill>
            <w14:solidFill>
              <w14:schemeClr w14:val="tx1"/>
            </w14:solidFill>
          </w14:textFill>
        </w:rPr>
        <w:t>228.06</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3.卫生健康支出</w:t>
      </w:r>
      <w:r>
        <w:rPr>
          <w:rFonts w:hint="eastAsia" w:ascii="仿宋" w:hAnsi="仿宋" w:eastAsia="仿宋"/>
          <w:color w:val="000000" w:themeColor="text1"/>
          <w:sz w:val="32"/>
          <w:szCs w:val="32"/>
          <w:lang w:val="en-US" w:eastAsia="zh-CN"/>
          <w14:textFill>
            <w14:solidFill>
              <w14:schemeClr w14:val="tx1"/>
            </w14:solidFill>
          </w14:textFill>
        </w:rPr>
        <w:t>127.35</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四、一般公共预算情况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年一般公共预算支出</w:t>
      </w:r>
      <w:r>
        <w:rPr>
          <w:rFonts w:hint="eastAsia" w:ascii="仿宋" w:hAnsi="仿宋" w:eastAsia="仿宋"/>
          <w:color w:val="000000" w:themeColor="text1"/>
          <w:sz w:val="32"/>
          <w:szCs w:val="32"/>
          <w:lang w:val="en-US" w:eastAsia="zh-CN"/>
          <w14:textFill>
            <w14:solidFill>
              <w14:schemeClr w14:val="tx1"/>
            </w14:solidFill>
          </w14:textFill>
        </w:rPr>
        <w:t>2189.26</w:t>
      </w:r>
      <w:r>
        <w:rPr>
          <w:rFonts w:hint="eastAsia" w:ascii="仿宋" w:hAnsi="仿宋" w:eastAsia="仿宋"/>
          <w:color w:val="000000" w:themeColor="text1"/>
          <w:sz w:val="32"/>
          <w:szCs w:val="32"/>
          <w14:textFill>
            <w14:solidFill>
              <w14:schemeClr w14:val="tx1"/>
            </w14:solidFill>
          </w14:textFill>
        </w:rPr>
        <w:t>万元（详见部门预算公开表4,5,6,7），具体安排情况如下：</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bCs/>
          <w:color w:val="000000" w:themeColor="text1"/>
          <w:sz w:val="32"/>
          <w:szCs w:val="32"/>
          <w14:textFill>
            <w14:solidFill>
              <w14:schemeClr w14:val="tx1"/>
            </w14:solidFill>
          </w14:textFill>
        </w:rPr>
        <w:t>（一）基本支出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年基本支出</w:t>
      </w:r>
      <w:r>
        <w:rPr>
          <w:rFonts w:hint="eastAsia" w:ascii="仿宋" w:hAnsi="仿宋" w:eastAsia="仿宋"/>
          <w:color w:val="000000" w:themeColor="text1"/>
          <w:sz w:val="32"/>
          <w:szCs w:val="32"/>
          <w:lang w:val="en-US" w:eastAsia="zh-CN"/>
          <w14:textFill>
            <w14:solidFill>
              <w14:schemeClr w14:val="tx1"/>
            </w14:solidFill>
          </w14:textFill>
        </w:rPr>
        <w:t>2189.26</w:t>
      </w:r>
      <w:r>
        <w:rPr>
          <w:rFonts w:hint="eastAsia" w:ascii="仿宋" w:hAnsi="仿宋" w:eastAsia="仿宋"/>
          <w:color w:val="000000" w:themeColor="text1"/>
          <w:sz w:val="32"/>
          <w:szCs w:val="32"/>
          <w14:textFill>
            <w14:solidFill>
              <w14:schemeClr w14:val="tx1"/>
            </w14:solidFill>
          </w14:textFill>
        </w:rPr>
        <w:t>万元，比202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年预算增加</w:t>
      </w:r>
      <w:r>
        <w:rPr>
          <w:rFonts w:hint="eastAsia" w:ascii="仿宋" w:hAnsi="仿宋" w:eastAsia="仿宋"/>
          <w:color w:val="000000" w:themeColor="text1"/>
          <w:sz w:val="32"/>
          <w:szCs w:val="32"/>
          <w:lang w:val="en-US" w:eastAsia="zh-CN"/>
          <w14:textFill>
            <w14:solidFill>
              <w14:schemeClr w14:val="tx1"/>
            </w14:solidFill>
          </w14:textFill>
        </w:rPr>
        <w:t>102.96</w:t>
      </w:r>
      <w:r>
        <w:rPr>
          <w:rFonts w:hint="eastAsia" w:ascii="仿宋" w:hAnsi="仿宋" w:eastAsia="仿宋"/>
          <w:color w:val="000000" w:themeColor="text1"/>
          <w:sz w:val="32"/>
          <w:szCs w:val="32"/>
          <w14:textFill>
            <w14:solidFill>
              <w14:schemeClr w14:val="tx1"/>
            </w14:solidFill>
          </w14:textFill>
        </w:rPr>
        <w:t>万元，增长</w:t>
      </w:r>
      <w:r>
        <w:rPr>
          <w:rFonts w:hint="eastAsia" w:ascii="仿宋" w:hAnsi="仿宋" w:eastAsia="仿宋"/>
          <w:color w:val="000000" w:themeColor="text1"/>
          <w:sz w:val="32"/>
          <w:szCs w:val="32"/>
          <w:lang w:val="en-US" w:eastAsia="zh-CN"/>
          <w14:textFill>
            <w14:solidFill>
              <w14:schemeClr w14:val="tx1"/>
            </w14:solidFill>
          </w14:textFill>
        </w:rPr>
        <w:t>4.9</w:t>
      </w:r>
      <w:r>
        <w:rPr>
          <w:rFonts w:hint="eastAsia" w:ascii="仿宋" w:hAnsi="仿宋" w:eastAsia="仿宋"/>
          <w:color w:val="000000" w:themeColor="text1"/>
          <w:sz w:val="32"/>
          <w:szCs w:val="32"/>
          <w14:textFill>
            <w14:solidFill>
              <w14:schemeClr w14:val="tx1"/>
            </w14:solidFill>
          </w14:textFill>
        </w:rPr>
        <w:t>%，增长的主要原因</w:t>
      </w:r>
      <w:r>
        <w:rPr>
          <w:rFonts w:hint="eastAsia" w:ascii="仿宋" w:hAnsi="仿宋" w:eastAsia="仿宋"/>
          <w:color w:val="000000" w:themeColor="text1"/>
          <w:sz w:val="32"/>
          <w:szCs w:val="32"/>
          <w:lang w:val="en-US" w:eastAsia="zh-CN"/>
          <w14:textFill>
            <w14:solidFill>
              <w14:schemeClr w14:val="tx1"/>
            </w14:solidFill>
          </w14:textFill>
        </w:rPr>
        <w:t>新增残疾人就业保障金</w:t>
      </w:r>
      <w:r>
        <w:rPr>
          <w:rFonts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bCs/>
          <w:color w:val="000000" w:themeColor="text1"/>
          <w:sz w:val="32"/>
          <w:szCs w:val="32"/>
          <w14:textFill>
            <w14:solidFill>
              <w14:schemeClr w14:val="tx1"/>
            </w14:solidFill>
          </w14:textFill>
        </w:rPr>
        <w:t>（二）项目支出</w:t>
      </w:r>
    </w:p>
    <w:p>
      <w:pPr>
        <w:spacing w:line="576"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我单位本年度无项目支出</w:t>
      </w:r>
    </w:p>
    <w:p>
      <w:pPr>
        <w:spacing w:line="576" w:lineRule="exact"/>
        <w:ind w:firstLine="800" w:firstLineChars="25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w:t>
      </w:r>
      <w:r>
        <w:rPr>
          <w:rFonts w:ascii="楷体" w:hAnsi="楷体" w:eastAsia="楷体"/>
          <w:color w:val="000000" w:themeColor="text1"/>
          <w:sz w:val="32"/>
          <w:szCs w:val="32"/>
          <w14:textFill>
            <w14:solidFill>
              <w14:schemeClr w14:val="tx1"/>
            </w14:solidFill>
          </w14:textFill>
        </w:rPr>
        <w:t xml:space="preserve"> </w:t>
      </w:r>
      <w:r>
        <w:rPr>
          <w:rFonts w:hint="eastAsia" w:ascii="楷体" w:hAnsi="楷体" w:eastAsia="楷体"/>
          <w:color w:val="000000" w:themeColor="text1"/>
          <w:sz w:val="32"/>
          <w:szCs w:val="32"/>
          <w14:textFill>
            <w14:solidFill>
              <w14:schemeClr w14:val="tx1"/>
            </w14:solidFill>
          </w14:textFill>
        </w:rPr>
        <w:t>非税收入</w:t>
      </w:r>
    </w:p>
    <w:p>
      <w:pPr>
        <w:spacing w:line="576"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年本单位无非税收入。</w:t>
      </w:r>
      <w:r>
        <w:rPr>
          <w:rFonts w:eastAsia="仿宋"/>
          <w:color w:val="000000" w:themeColor="text1"/>
          <w:sz w:val="32"/>
          <w:szCs w:val="32"/>
          <w14:textFill>
            <w14:solidFill>
              <w14:schemeClr w14:val="tx1"/>
            </w14:solidFill>
          </w14:textFill>
        </w:rPr>
        <w:t xml:space="preserve">           </w:t>
      </w:r>
    </w:p>
    <w:p>
      <w:pPr>
        <w:spacing w:line="576" w:lineRule="exact"/>
        <w:ind w:firstLine="640" w:firstLineChars="200"/>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五、</w:t>
      </w:r>
      <w:r>
        <w:rPr>
          <w:rFonts w:ascii="黑体" w:hAnsi="黑体" w:eastAsia="黑体"/>
          <w:bCs/>
          <w:color w:val="000000" w:themeColor="text1"/>
          <w:sz w:val="32"/>
          <w:szCs w:val="32"/>
          <w14:textFill>
            <w14:solidFill>
              <w14:schemeClr w14:val="tx1"/>
            </w14:solidFill>
          </w14:textFill>
        </w:rPr>
        <w:t xml:space="preserve">政府性基金预算支出情况   </w:t>
      </w:r>
    </w:p>
    <w:p>
      <w:pPr>
        <w:spacing w:line="576" w:lineRule="exact"/>
        <w:ind w:firstLine="640" w:firstLineChars="200"/>
        <w:rPr>
          <w:rFonts w:eastAsia="仿宋"/>
          <w:color w:val="000000" w:themeColor="text1"/>
          <w:sz w:val="32"/>
          <w:szCs w:val="32"/>
          <w14:textFill>
            <w14:solidFill>
              <w14:schemeClr w14:val="tx1"/>
            </w14:solidFill>
          </w14:textFill>
        </w:rPr>
      </w:pPr>
      <w:r>
        <w:rPr>
          <w:rFonts w:eastAsia="仿宋"/>
          <w:color w:val="000000" w:themeColor="text1"/>
          <w:sz w:val="32"/>
          <w:szCs w:val="32"/>
          <w14:textFill>
            <w14:solidFill>
              <w14:schemeClr w14:val="tx1"/>
            </w14:solidFill>
          </w14:textFill>
        </w:rPr>
        <w:t>202</w:t>
      </w:r>
      <w:r>
        <w:rPr>
          <w:rFonts w:hint="eastAsia" w:eastAsia="仿宋"/>
          <w:color w:val="000000" w:themeColor="text1"/>
          <w:sz w:val="32"/>
          <w:szCs w:val="32"/>
          <w:lang w:val="en-US" w:eastAsia="zh-CN"/>
          <w14:textFill>
            <w14:solidFill>
              <w14:schemeClr w14:val="tx1"/>
            </w14:solidFill>
          </w14:textFill>
        </w:rPr>
        <w:t>3</w:t>
      </w:r>
      <w:r>
        <w:rPr>
          <w:rFonts w:eastAsia="仿宋"/>
          <w:color w:val="000000" w:themeColor="text1"/>
          <w:sz w:val="32"/>
          <w:szCs w:val="32"/>
          <w14:textFill>
            <w14:solidFill>
              <w14:schemeClr w14:val="tx1"/>
            </w14:solidFill>
          </w14:textFill>
        </w:rPr>
        <w:t>年预算，</w:t>
      </w:r>
      <w:r>
        <w:rPr>
          <w:rFonts w:hint="eastAsia" w:eastAsia="仿宋"/>
          <w:color w:val="000000" w:themeColor="text1"/>
          <w:sz w:val="32"/>
          <w:szCs w:val="32"/>
          <w14:textFill>
            <w14:solidFill>
              <w14:schemeClr w14:val="tx1"/>
            </w14:solidFill>
          </w14:textFill>
        </w:rPr>
        <w:t>我单位</w:t>
      </w:r>
      <w:r>
        <w:rPr>
          <w:rFonts w:eastAsia="仿宋"/>
          <w:color w:val="000000" w:themeColor="text1"/>
          <w:sz w:val="32"/>
          <w:szCs w:val="32"/>
          <w14:textFill>
            <w14:solidFill>
              <w14:schemeClr w14:val="tx1"/>
            </w14:solidFill>
          </w14:textFill>
        </w:rPr>
        <w:t>无政府性基金预算支出</w:t>
      </w:r>
    </w:p>
    <w:p>
      <w:pPr>
        <w:spacing w:line="576" w:lineRule="exact"/>
        <w:ind w:firstLine="640" w:firstLineChars="200"/>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六、国有资本经营预算</w:t>
      </w:r>
      <w:r>
        <w:rPr>
          <w:rFonts w:ascii="黑体" w:hAnsi="黑体" w:eastAsia="黑体"/>
          <w:bCs/>
          <w:color w:val="000000" w:themeColor="text1"/>
          <w:sz w:val="32"/>
          <w:szCs w:val="32"/>
          <w14:textFill>
            <w14:solidFill>
              <w14:schemeClr w14:val="tx1"/>
            </w14:solidFill>
          </w14:textFill>
        </w:rPr>
        <w:t>支出情况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eastAsia="仿宋"/>
          <w:color w:val="000000" w:themeColor="text1"/>
          <w:sz w:val="32"/>
          <w:szCs w:val="32"/>
          <w14:textFill>
            <w14:solidFill>
              <w14:schemeClr w14:val="tx1"/>
            </w14:solidFill>
          </w14:textFill>
        </w:rPr>
        <w:t>202</w:t>
      </w:r>
      <w:r>
        <w:rPr>
          <w:rFonts w:hint="eastAsia" w:eastAsia="仿宋"/>
          <w:color w:val="000000" w:themeColor="text1"/>
          <w:sz w:val="32"/>
          <w:szCs w:val="32"/>
          <w:lang w:val="en-US" w:eastAsia="zh-CN"/>
          <w14:textFill>
            <w14:solidFill>
              <w14:schemeClr w14:val="tx1"/>
            </w14:solidFill>
          </w14:textFill>
        </w:rPr>
        <w:t>3</w:t>
      </w:r>
      <w:r>
        <w:rPr>
          <w:rFonts w:eastAsia="仿宋"/>
          <w:color w:val="000000" w:themeColor="text1"/>
          <w:sz w:val="32"/>
          <w:szCs w:val="32"/>
          <w14:textFill>
            <w14:solidFill>
              <w14:schemeClr w14:val="tx1"/>
            </w14:solidFill>
          </w14:textFill>
        </w:rPr>
        <w:t>年预算，</w:t>
      </w:r>
      <w:r>
        <w:rPr>
          <w:rFonts w:hint="eastAsia" w:eastAsia="仿宋"/>
          <w:color w:val="000000" w:themeColor="text1"/>
          <w:sz w:val="32"/>
          <w:szCs w:val="32"/>
          <w14:textFill>
            <w14:solidFill>
              <w14:schemeClr w14:val="tx1"/>
            </w14:solidFill>
          </w14:textFill>
        </w:rPr>
        <w:t>我单位无国有资本经营支出。</w:t>
      </w:r>
    </w:p>
    <w:p>
      <w:pPr>
        <w:spacing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七</w:t>
      </w:r>
      <w:r>
        <w:rPr>
          <w:rFonts w:ascii="黑体" w:hAnsi="黑体" w:eastAsia="黑体"/>
          <w:bCs/>
          <w:color w:val="000000" w:themeColor="text1"/>
          <w:sz w:val="32"/>
          <w:szCs w:val="32"/>
          <w14:textFill>
            <w14:solidFill>
              <w14:schemeClr w14:val="tx1"/>
            </w14:solidFill>
          </w14:textFill>
        </w:rPr>
        <w:t>、部门“三公”经费等预算安排情况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年我单位无三公经费预算安排。</w:t>
      </w:r>
    </w:p>
    <w:p>
      <w:pPr>
        <w:spacing w:line="576"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八</w:t>
      </w:r>
      <w:r>
        <w:rPr>
          <w:rFonts w:ascii="黑体" w:hAnsi="黑体" w:eastAsia="黑体"/>
          <w:bCs/>
          <w:color w:val="000000" w:themeColor="text1"/>
          <w:sz w:val="32"/>
          <w:szCs w:val="32"/>
          <w14:textFill>
            <w14:solidFill>
              <w14:schemeClr w14:val="tx1"/>
            </w14:solidFill>
          </w14:textFill>
        </w:rPr>
        <w:t>、其他重要事项情况说明</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ascii="楷体" w:hAnsi="楷体" w:eastAsia="楷体"/>
          <w:color w:val="000000" w:themeColor="text1"/>
          <w:sz w:val="32"/>
          <w:szCs w:val="32"/>
          <w14:textFill>
            <w14:solidFill>
              <w14:schemeClr w14:val="tx1"/>
            </w14:solidFill>
          </w14:textFill>
        </w:rPr>
        <w:t xml:space="preserve"> (</w:t>
      </w:r>
      <w:r>
        <w:rPr>
          <w:rFonts w:hint="eastAsia" w:ascii="楷体" w:hAnsi="楷体" w:eastAsia="楷体"/>
          <w:color w:val="000000" w:themeColor="text1"/>
          <w:sz w:val="32"/>
          <w:szCs w:val="32"/>
          <w14:textFill>
            <w14:solidFill>
              <w14:schemeClr w14:val="tx1"/>
            </w14:solidFill>
          </w14:textFill>
        </w:rPr>
        <w:t>一</w:t>
      </w:r>
      <w:r>
        <w:rPr>
          <w:rFonts w:ascii="楷体" w:hAnsi="楷体" w:eastAsia="楷体"/>
          <w:color w:val="000000" w:themeColor="text1"/>
          <w:sz w:val="32"/>
          <w:szCs w:val="32"/>
          <w14:textFill>
            <w14:solidFill>
              <w14:schemeClr w14:val="tx1"/>
            </w14:solidFill>
          </w14:textFill>
        </w:rPr>
        <w:t>)政府采购安排情况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年本单位政府采购预算总额</w:t>
      </w:r>
      <w:r>
        <w:rPr>
          <w:rFonts w:hint="eastAsia" w:ascii="仿宋" w:hAnsi="仿宋" w:eastAsia="仿宋"/>
          <w:color w:val="000000" w:themeColor="text1"/>
          <w:sz w:val="32"/>
          <w:szCs w:val="32"/>
          <w:lang w:val="en-US" w:eastAsia="zh-CN"/>
          <w14:textFill>
            <w14:solidFill>
              <w14:schemeClr w14:val="tx1"/>
            </w14:solidFill>
          </w14:textFill>
        </w:rPr>
        <w:t>131</w:t>
      </w:r>
      <w:r>
        <w:rPr>
          <w:rFonts w:ascii="仿宋" w:hAnsi="仿宋" w:eastAsia="仿宋"/>
          <w:color w:val="000000" w:themeColor="text1"/>
          <w:sz w:val="32"/>
          <w:szCs w:val="32"/>
          <w14:textFill>
            <w14:solidFill>
              <w14:schemeClr w14:val="tx1"/>
            </w14:solidFill>
          </w14:textFill>
        </w:rPr>
        <w:t>万元，其中：政府采购货物预算</w:t>
      </w:r>
      <w:r>
        <w:rPr>
          <w:rFonts w:hint="eastAsia" w:ascii="仿宋" w:hAnsi="仿宋" w:eastAsia="仿宋"/>
          <w:color w:val="000000" w:themeColor="text1"/>
          <w:sz w:val="32"/>
          <w:szCs w:val="32"/>
          <w:lang w:val="en-US" w:eastAsia="zh-CN"/>
          <w14:textFill>
            <w14:solidFill>
              <w14:schemeClr w14:val="tx1"/>
            </w14:solidFill>
          </w14:textFill>
        </w:rPr>
        <w:t>123</w:t>
      </w:r>
      <w:r>
        <w:rPr>
          <w:rFonts w:ascii="仿宋" w:hAnsi="仿宋" w:eastAsia="仿宋"/>
          <w:color w:val="000000" w:themeColor="text1"/>
          <w:sz w:val="32"/>
          <w:szCs w:val="32"/>
          <w14:textFill>
            <w14:solidFill>
              <w14:schemeClr w14:val="tx1"/>
            </w14:solidFill>
          </w14:textFill>
        </w:rPr>
        <w:t>万元，政府采购服务预算</w:t>
      </w:r>
      <w:r>
        <w:rPr>
          <w:rFonts w:hint="eastAsia" w:ascii="仿宋" w:hAnsi="仿宋" w:eastAsia="仿宋"/>
          <w:color w:val="000000" w:themeColor="text1"/>
          <w:sz w:val="32"/>
          <w:szCs w:val="32"/>
          <w14:textFill>
            <w14:solidFill>
              <w14:schemeClr w14:val="tx1"/>
            </w14:solidFill>
          </w14:textFill>
        </w:rPr>
        <w:t>8</w:t>
      </w:r>
      <w:r>
        <w:rPr>
          <w:rFonts w:ascii="仿宋" w:hAnsi="仿宋" w:eastAsia="仿宋"/>
          <w:color w:val="000000" w:themeColor="text1"/>
          <w:sz w:val="32"/>
          <w:szCs w:val="32"/>
          <w14:textFill>
            <w14:solidFill>
              <w14:schemeClr w14:val="tx1"/>
            </w14:solidFill>
          </w14:textFill>
        </w:rPr>
        <w:t>万元。</w:t>
      </w:r>
    </w:p>
    <w:p>
      <w:pPr>
        <w:spacing w:line="576" w:lineRule="exact"/>
        <w:ind w:firstLine="640" w:firstLineChars="200"/>
        <w:rPr>
          <w:rFonts w:ascii="楷体" w:hAnsi="楷体" w:eastAsia="楷体"/>
          <w:color w:val="000000" w:themeColor="text1"/>
          <w:sz w:val="32"/>
          <w:szCs w:val="32"/>
          <w14:textFill>
            <w14:solidFill>
              <w14:schemeClr w14:val="tx1"/>
            </w14:solidFill>
          </w14:textFill>
        </w:rPr>
      </w:pPr>
      <w:r>
        <w:rPr>
          <w:rFonts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14:textFill>
            <w14:solidFill>
              <w14:schemeClr w14:val="tx1"/>
            </w14:solidFill>
          </w14:textFill>
        </w:rPr>
        <w:t>二</w:t>
      </w:r>
      <w:r>
        <w:rPr>
          <w:rFonts w:ascii="楷体" w:hAnsi="楷体" w:eastAsia="楷体"/>
          <w:color w:val="000000" w:themeColor="text1"/>
          <w:sz w:val="32"/>
          <w:szCs w:val="32"/>
          <w14:textFill>
            <w14:solidFill>
              <w14:schemeClr w14:val="tx1"/>
            </w14:solidFill>
          </w14:textFill>
        </w:rPr>
        <w:t>)国有资产占用情况</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上年末固定资产金额为</w:t>
      </w:r>
      <w:r>
        <w:rPr>
          <w:rFonts w:hint="eastAsia" w:ascii="仿宋" w:hAnsi="仿宋" w:eastAsia="仿宋"/>
          <w:color w:val="000000" w:themeColor="text1"/>
          <w:sz w:val="32"/>
          <w:szCs w:val="32"/>
          <w:lang w:val="en-US" w:eastAsia="zh-CN"/>
          <w14:textFill>
            <w14:solidFill>
              <w14:schemeClr w14:val="tx1"/>
            </w14:solidFill>
          </w14:textFill>
        </w:rPr>
        <w:t>2858.67</w:t>
      </w:r>
      <w:r>
        <w:rPr>
          <w:rFonts w:ascii="仿宋" w:hAnsi="仿宋" w:eastAsia="仿宋"/>
          <w:color w:val="000000" w:themeColor="text1"/>
          <w:sz w:val="32"/>
          <w:szCs w:val="32"/>
          <w14:textFill>
            <w14:solidFill>
              <w14:schemeClr w14:val="tx1"/>
            </w14:solidFill>
          </w14:textFill>
        </w:rPr>
        <w:t>万元,其中：单位共有车辆</w:t>
      </w:r>
      <w:r>
        <w:rPr>
          <w:rFonts w:hint="eastAsia" w:ascii="仿宋" w:hAnsi="仿宋" w:eastAsia="仿宋"/>
          <w:color w:val="000000" w:themeColor="text1"/>
          <w:sz w:val="32"/>
          <w:szCs w:val="32"/>
          <w14:textFill>
            <w14:solidFill>
              <w14:schemeClr w14:val="tx1"/>
            </w14:solidFill>
          </w14:textFill>
        </w:rPr>
        <w:t>0</w:t>
      </w:r>
      <w:r>
        <w:rPr>
          <w:rFonts w:ascii="仿宋" w:hAnsi="仿宋" w:eastAsia="仿宋"/>
          <w:color w:val="000000" w:themeColor="text1"/>
          <w:sz w:val="32"/>
          <w:szCs w:val="32"/>
          <w14:textFill>
            <w14:solidFill>
              <w14:schemeClr w14:val="tx1"/>
            </w14:solidFill>
          </w14:textFill>
        </w:rPr>
        <w:t>辆，价值</w:t>
      </w:r>
      <w:r>
        <w:rPr>
          <w:rFonts w:hint="eastAsia" w:ascii="仿宋" w:hAnsi="仿宋" w:eastAsia="仿宋"/>
          <w:color w:val="000000" w:themeColor="text1"/>
          <w:sz w:val="32"/>
          <w:szCs w:val="32"/>
          <w14:textFill>
            <w14:solidFill>
              <w14:schemeClr w14:val="tx1"/>
            </w14:solidFill>
          </w14:textFill>
        </w:rPr>
        <w:t>0</w:t>
      </w:r>
      <w:r>
        <w:rPr>
          <w:rFonts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w:t>
      </w:r>
    </w:p>
    <w:p>
      <w:pPr>
        <w:spacing w:line="576"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年拟采购固定资产约</w:t>
      </w:r>
      <w:r>
        <w:rPr>
          <w:rFonts w:hint="eastAsia" w:ascii="仿宋" w:hAnsi="仿宋" w:eastAsia="仿宋"/>
          <w:color w:val="000000" w:themeColor="text1"/>
          <w:sz w:val="32"/>
          <w:szCs w:val="32"/>
          <w:lang w:val="en-US" w:eastAsia="zh-CN"/>
          <w14:textFill>
            <w14:solidFill>
              <w14:schemeClr w14:val="tx1"/>
            </w14:solidFill>
          </w14:textFill>
        </w:rPr>
        <w:t>123</w:t>
      </w:r>
      <w:r>
        <w:rPr>
          <w:rFonts w:ascii="仿宋" w:hAnsi="仿宋" w:eastAsia="仿宋"/>
          <w:color w:val="000000" w:themeColor="text1"/>
          <w:sz w:val="32"/>
          <w:szCs w:val="32"/>
          <w14:textFill>
            <w14:solidFill>
              <w14:schemeClr w14:val="tx1"/>
            </w14:solidFill>
          </w14:textFill>
        </w:rPr>
        <w:t>万元，主要包括：</w:t>
      </w:r>
      <w:r>
        <w:rPr>
          <w:rFonts w:hint="eastAsia" w:ascii="仿宋" w:hAnsi="仿宋" w:eastAsia="仿宋"/>
          <w:color w:val="000000" w:themeColor="text1"/>
          <w:sz w:val="32"/>
          <w:szCs w:val="32"/>
          <w14:textFill>
            <w14:solidFill>
              <w14:schemeClr w14:val="tx1"/>
            </w14:solidFill>
          </w14:textFill>
        </w:rPr>
        <w:t>办公家具20万元，</w:t>
      </w:r>
      <w:r>
        <w:rPr>
          <w:rFonts w:hint="eastAsia" w:ascii="仿宋" w:hAnsi="仿宋" w:eastAsia="仿宋"/>
          <w:color w:val="000000" w:themeColor="text1"/>
          <w:sz w:val="32"/>
          <w:szCs w:val="32"/>
          <w:lang w:val="en-US" w:eastAsia="zh-CN"/>
          <w14:textFill>
            <w14:solidFill>
              <w14:schemeClr w14:val="tx1"/>
            </w14:solidFill>
          </w14:textFill>
        </w:rPr>
        <w:t>计算机和打印机（学生微机室装备</w:t>
      </w:r>
      <w:r>
        <w:rPr>
          <w:rFonts w:hint="eastAsia" w:ascii="仿宋" w:hAnsi="仿宋" w:eastAsia="仿宋"/>
          <w:color w:val="000000" w:themeColor="text1"/>
          <w:sz w:val="32"/>
          <w:szCs w:val="32"/>
          <w14:textFill>
            <w14:solidFill>
              <w14:schemeClr w14:val="tx1"/>
            </w14:solidFill>
          </w14:textFill>
        </w:rPr>
        <w:t>计算机设备</w:t>
      </w:r>
      <w:r>
        <w:rPr>
          <w:rFonts w:hint="eastAsia" w:ascii="仿宋" w:hAnsi="仿宋" w:eastAsia="仿宋"/>
          <w:color w:val="000000" w:themeColor="text1"/>
          <w:sz w:val="32"/>
          <w:szCs w:val="32"/>
          <w:lang w:val="en-US" w:eastAsia="zh-CN"/>
          <w14:textFill>
            <w14:solidFill>
              <w14:schemeClr w14:val="tx1"/>
            </w14:solidFill>
          </w14:textFill>
        </w:rPr>
        <w:t>60台</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便携式计算机5台，打印机5台）约38</w:t>
      </w:r>
      <w:r>
        <w:rPr>
          <w:rFonts w:hint="eastAsia" w:ascii="仿宋" w:hAnsi="仿宋" w:eastAsia="仿宋"/>
          <w:color w:val="000000" w:themeColor="text1"/>
          <w:sz w:val="32"/>
          <w:szCs w:val="32"/>
          <w14:textFill>
            <w14:solidFill>
              <w14:schemeClr w14:val="tx1"/>
            </w14:solidFill>
          </w14:textFill>
        </w:rPr>
        <w:t>万元，办公设备(LED显示屏)</w:t>
      </w:r>
      <w:r>
        <w:rPr>
          <w:rFonts w:hint="eastAsia" w:ascii="仿宋" w:hAnsi="仿宋" w:eastAsia="仿宋"/>
          <w:color w:val="000000" w:themeColor="text1"/>
          <w:sz w:val="32"/>
          <w:szCs w:val="32"/>
          <w:lang w:val="en-US" w:eastAsia="zh-CN"/>
          <w14:textFill>
            <w14:solidFill>
              <w14:schemeClr w14:val="tx1"/>
            </w14:solidFill>
          </w14:textFill>
        </w:rPr>
        <w:t>45</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音响设备20万元。</w:t>
      </w:r>
    </w:p>
    <w:p>
      <w:pPr>
        <w:spacing w:line="576" w:lineRule="exact"/>
        <w:ind w:firstLine="640" w:firstLineChars="200"/>
        <w:rPr>
          <w:rFonts w:ascii="楷体" w:hAnsi="楷体" w:eastAsia="楷体"/>
          <w:sz w:val="32"/>
          <w:szCs w:val="32"/>
        </w:rPr>
      </w:pPr>
      <w:r>
        <w:rPr>
          <w:rFonts w:ascii="楷体" w:hAnsi="楷体" w:eastAsia="楷体"/>
          <w:sz w:val="32"/>
          <w:szCs w:val="32"/>
        </w:rPr>
        <w:t>（四）预算绩效情况</w:t>
      </w:r>
    </w:p>
    <w:p>
      <w:pPr>
        <w:spacing w:line="576" w:lineRule="exact"/>
        <w:ind w:firstLine="640" w:firstLineChars="200"/>
        <w:rPr>
          <w:rFonts w:hint="eastAsia" w:ascii="仿宋" w:hAnsi="仿宋" w:eastAsia="仿宋"/>
          <w:sz w:val="32"/>
          <w:szCs w:val="32"/>
        </w:rPr>
      </w:pPr>
      <w:r>
        <w:rPr>
          <w:rFonts w:hint="eastAsia" w:ascii="仿宋" w:hAnsi="仿宋" w:eastAsia="仿宋"/>
          <w:sz w:val="32"/>
          <w:szCs w:val="32"/>
        </w:rPr>
        <w:t>我校202</w:t>
      </w:r>
      <w:r>
        <w:rPr>
          <w:rFonts w:hint="eastAsia" w:ascii="仿宋" w:hAnsi="仿宋" w:eastAsia="仿宋"/>
          <w:sz w:val="32"/>
          <w:szCs w:val="32"/>
          <w:lang w:val="en-US" w:eastAsia="zh-CN"/>
        </w:rPr>
        <w:t>3</w:t>
      </w:r>
      <w:r>
        <w:rPr>
          <w:rFonts w:hint="eastAsia" w:ascii="仿宋" w:hAnsi="仿宋" w:eastAsia="仿宋"/>
          <w:sz w:val="32"/>
          <w:szCs w:val="32"/>
        </w:rPr>
        <w:t>年人员经费预算纳入绩效管理,对此项目的预算绩效具体目标进行细化、量化，并经县财政局审核通过。在202</w:t>
      </w:r>
      <w:r>
        <w:rPr>
          <w:rFonts w:hint="eastAsia" w:ascii="仿宋" w:hAnsi="仿宋" w:eastAsia="仿宋"/>
          <w:sz w:val="32"/>
          <w:szCs w:val="32"/>
          <w:lang w:val="en-US" w:eastAsia="zh-CN"/>
        </w:rPr>
        <w:t>3</w:t>
      </w:r>
      <w:r>
        <w:rPr>
          <w:rFonts w:hint="eastAsia" w:ascii="仿宋" w:hAnsi="仿宋" w:eastAsia="仿宋"/>
          <w:sz w:val="32"/>
          <w:szCs w:val="32"/>
        </w:rPr>
        <w:t>年预算执行过程中，我校将按照绩效目标的各项指标严格执行，并从严做好绩效目标的执行；待202</w:t>
      </w:r>
      <w:r>
        <w:rPr>
          <w:rFonts w:hint="eastAsia" w:ascii="仿宋" w:hAnsi="仿宋" w:eastAsia="仿宋"/>
          <w:sz w:val="32"/>
          <w:szCs w:val="32"/>
          <w:lang w:val="en-US" w:eastAsia="zh-CN"/>
        </w:rPr>
        <w:t>3</w:t>
      </w:r>
      <w:r>
        <w:rPr>
          <w:rFonts w:hint="eastAsia" w:ascii="仿宋" w:hAnsi="仿宋" w:eastAsia="仿宋"/>
          <w:sz w:val="32"/>
          <w:szCs w:val="32"/>
        </w:rPr>
        <w:t>年预算执行完毕后，我校将对照绩效目标进行自查，并对绩效目标完成情况作出评价。</w:t>
      </w:r>
    </w:p>
    <w:p>
      <w:pPr>
        <w:spacing w:line="576" w:lineRule="exact"/>
        <w:ind w:firstLine="640" w:firstLineChars="200"/>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九</w:t>
      </w:r>
      <w:r>
        <w:rPr>
          <w:rFonts w:ascii="黑体" w:hAnsi="黑体" w:eastAsia="黑体"/>
          <w:bCs/>
          <w:color w:val="000000" w:themeColor="text1"/>
          <w:sz w:val="32"/>
          <w:szCs w:val="32"/>
          <w14:textFill>
            <w14:solidFill>
              <w14:schemeClr w14:val="tx1"/>
            </w14:solidFill>
          </w14:textFill>
        </w:rPr>
        <w:t>、名词解释</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财政拨款收入：指县级财政当年拨付的资金。</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上年结转和结余：指以前年度尚未完成，结转到本年度按有关规定继续使用的资金。</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一般公共服务：指县财政局用于保障机构正常运行、开展财政管理活动的支出。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工资福利支出：反映单位开支的在职职工和编制外长期聘用人员的各类劳动报酬，以及为上述人员缴纳的各项社会保险费等。</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对个人和家庭的补助：反映政府用于对个人和家庭的补助支出。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社会保障和就业：指县财政局用于离退休人员的经费。</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住房公积金：指按照国家统一规定，依据确定的比例为在职职工缴存的长期住房储金。</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基本支出：指为保障机构正常运转、完成日常工作任务而发生的人员支出和公用支出。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项目支出：指在基本支出之外为完成特定行政任务和事业发展目标所发生的支出。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三公经费：是指县级部门用财政拨款安排的因公出国（境）费，公务用车购置及运行费和公务接待费。</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会议费：反映单位在会议期间按规定开支的住宿费、伙食费、会议室租金、交通费、文件印刷费、医药费等支出。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培训费：反映因公出国（境）培训费以外的各类培训支出。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因公出国（境）费：反映单位公务出国（境）的国际旅费、国外城市间交通费、住宿费、伙食费、培训费、公杂费等支出。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公务接待费：反映单位按规定开支的各类公务接待（含外宾接待）支出。</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公务用车购置费：反映公务用车车辆购置支出（含车辆购置税）。</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公务用车运行维护费：反映单位按规定保留的公务用车租用费、燃料费、维修费、过路过桥费、保险费、安全奖励费用等支出。   </w:t>
      </w:r>
    </w:p>
    <w:p>
      <w:pPr>
        <w:spacing w:line="576"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p>
    <w:p>
      <w:pPr>
        <w:spacing w:line="576" w:lineRule="exact"/>
        <w:rPr>
          <w:rFonts w:ascii="仿宋_GB2312" w:hAnsi="仿宋"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 xml:space="preserve"> 附件:202</w:t>
      </w:r>
      <w:r>
        <w:rPr>
          <w:rFonts w:hint="eastAsia" w:ascii="仿宋_GB2312" w:hAnsi="仿宋" w:eastAsia="仿宋_GB2312"/>
          <w:color w:val="000000" w:themeColor="text1"/>
          <w:sz w:val="32"/>
          <w:szCs w:val="32"/>
          <w:lang w:val="en-US" w:eastAsia="zh-CN"/>
          <w14:textFill>
            <w14:solidFill>
              <w14:schemeClr w14:val="tx1"/>
            </w14:solidFill>
          </w14:textFill>
        </w:rPr>
        <w:t>3</w:t>
      </w:r>
      <w:bookmarkStart w:id="0" w:name="_GoBack"/>
      <w:bookmarkEnd w:id="0"/>
      <w:r>
        <w:rPr>
          <w:rFonts w:hint="eastAsia" w:ascii="仿宋_GB2312" w:hAnsi="仿宋" w:eastAsia="仿宋_GB2312"/>
          <w:color w:val="000000" w:themeColor="text1"/>
          <w:sz w:val="32"/>
          <w:szCs w:val="32"/>
          <w14:textFill>
            <w14:solidFill>
              <w14:schemeClr w14:val="tx1"/>
            </w14:solidFill>
          </w14:textFill>
        </w:rPr>
        <w:t>年部门预算表及支出绩效目标表</w:t>
      </w:r>
    </w:p>
    <w:sectPr>
      <w:pgSz w:w="11906" w:h="16838"/>
      <w:pgMar w:top="1985"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ZjU3NGIxNDZmNDk3YmY2ZWJlZWVmMzg4NjM5MjkifQ=="/>
  </w:docVars>
  <w:rsids>
    <w:rsidRoot w:val="00343FFF"/>
    <w:rsid w:val="00011569"/>
    <w:rsid w:val="000518B8"/>
    <w:rsid w:val="00081E3B"/>
    <w:rsid w:val="00090AA4"/>
    <w:rsid w:val="00091CB5"/>
    <w:rsid w:val="000A0EF5"/>
    <w:rsid w:val="000B380A"/>
    <w:rsid w:val="000B49CD"/>
    <w:rsid w:val="000B5EA8"/>
    <w:rsid w:val="000D51DB"/>
    <w:rsid w:val="000D7849"/>
    <w:rsid w:val="000F2F9C"/>
    <w:rsid w:val="000F3A8D"/>
    <w:rsid w:val="00132327"/>
    <w:rsid w:val="00163E6C"/>
    <w:rsid w:val="00173BB3"/>
    <w:rsid w:val="00177B1B"/>
    <w:rsid w:val="00192FF7"/>
    <w:rsid w:val="0019460D"/>
    <w:rsid w:val="001951F6"/>
    <w:rsid w:val="001A2FB6"/>
    <w:rsid w:val="001A663A"/>
    <w:rsid w:val="001D4BE7"/>
    <w:rsid w:val="001E0A19"/>
    <w:rsid w:val="002242E0"/>
    <w:rsid w:val="002357C7"/>
    <w:rsid w:val="002446F9"/>
    <w:rsid w:val="00246BF7"/>
    <w:rsid w:val="002575AB"/>
    <w:rsid w:val="00257F8D"/>
    <w:rsid w:val="00265075"/>
    <w:rsid w:val="002A03F9"/>
    <w:rsid w:val="002C668D"/>
    <w:rsid w:val="002C6CD8"/>
    <w:rsid w:val="002E124F"/>
    <w:rsid w:val="0030776C"/>
    <w:rsid w:val="00311B2D"/>
    <w:rsid w:val="00324279"/>
    <w:rsid w:val="00335D9F"/>
    <w:rsid w:val="00343FFF"/>
    <w:rsid w:val="00354C36"/>
    <w:rsid w:val="00360892"/>
    <w:rsid w:val="003A4AA3"/>
    <w:rsid w:val="003A6376"/>
    <w:rsid w:val="0042439E"/>
    <w:rsid w:val="004306F0"/>
    <w:rsid w:val="004343E3"/>
    <w:rsid w:val="004429A9"/>
    <w:rsid w:val="004447A9"/>
    <w:rsid w:val="00446FE7"/>
    <w:rsid w:val="00454CBB"/>
    <w:rsid w:val="00463192"/>
    <w:rsid w:val="004761FF"/>
    <w:rsid w:val="00477D29"/>
    <w:rsid w:val="00497DAA"/>
    <w:rsid w:val="004A136E"/>
    <w:rsid w:val="004E0D15"/>
    <w:rsid w:val="004E667D"/>
    <w:rsid w:val="0050604C"/>
    <w:rsid w:val="00506673"/>
    <w:rsid w:val="0051042A"/>
    <w:rsid w:val="00543A14"/>
    <w:rsid w:val="00552FFB"/>
    <w:rsid w:val="005676AD"/>
    <w:rsid w:val="005733F1"/>
    <w:rsid w:val="00581AAB"/>
    <w:rsid w:val="005C35B6"/>
    <w:rsid w:val="005D0955"/>
    <w:rsid w:val="005E2DFD"/>
    <w:rsid w:val="005E300A"/>
    <w:rsid w:val="005E44B0"/>
    <w:rsid w:val="005F5118"/>
    <w:rsid w:val="00617365"/>
    <w:rsid w:val="00623D8F"/>
    <w:rsid w:val="00636916"/>
    <w:rsid w:val="00645C49"/>
    <w:rsid w:val="00656F5A"/>
    <w:rsid w:val="006721D2"/>
    <w:rsid w:val="006817F5"/>
    <w:rsid w:val="006B5735"/>
    <w:rsid w:val="006B5B5B"/>
    <w:rsid w:val="006F1C39"/>
    <w:rsid w:val="007076AA"/>
    <w:rsid w:val="0072657B"/>
    <w:rsid w:val="007335DA"/>
    <w:rsid w:val="007473BC"/>
    <w:rsid w:val="007543B2"/>
    <w:rsid w:val="00754A6D"/>
    <w:rsid w:val="00756F5E"/>
    <w:rsid w:val="007B2A7C"/>
    <w:rsid w:val="007D636F"/>
    <w:rsid w:val="007E08CB"/>
    <w:rsid w:val="007E7F31"/>
    <w:rsid w:val="007F4481"/>
    <w:rsid w:val="00822B78"/>
    <w:rsid w:val="00826558"/>
    <w:rsid w:val="00846895"/>
    <w:rsid w:val="00856A89"/>
    <w:rsid w:val="00871F50"/>
    <w:rsid w:val="00890303"/>
    <w:rsid w:val="008F31A7"/>
    <w:rsid w:val="00913398"/>
    <w:rsid w:val="009577DA"/>
    <w:rsid w:val="0098179B"/>
    <w:rsid w:val="00987D5E"/>
    <w:rsid w:val="009B0BE7"/>
    <w:rsid w:val="009B0F5D"/>
    <w:rsid w:val="009B1017"/>
    <w:rsid w:val="009C5EFC"/>
    <w:rsid w:val="009D5DC0"/>
    <w:rsid w:val="009E0885"/>
    <w:rsid w:val="00A0763D"/>
    <w:rsid w:val="00A209C6"/>
    <w:rsid w:val="00A2315B"/>
    <w:rsid w:val="00A3274B"/>
    <w:rsid w:val="00A34CC6"/>
    <w:rsid w:val="00A404BD"/>
    <w:rsid w:val="00A45A88"/>
    <w:rsid w:val="00A7668E"/>
    <w:rsid w:val="00A81A99"/>
    <w:rsid w:val="00A90391"/>
    <w:rsid w:val="00A91AE8"/>
    <w:rsid w:val="00B01641"/>
    <w:rsid w:val="00B14054"/>
    <w:rsid w:val="00B67F50"/>
    <w:rsid w:val="00B73CB4"/>
    <w:rsid w:val="00B75FE0"/>
    <w:rsid w:val="00B800F0"/>
    <w:rsid w:val="00B829EC"/>
    <w:rsid w:val="00BD0A9B"/>
    <w:rsid w:val="00BE7D51"/>
    <w:rsid w:val="00BF1C33"/>
    <w:rsid w:val="00BF3DDF"/>
    <w:rsid w:val="00C02568"/>
    <w:rsid w:val="00C47627"/>
    <w:rsid w:val="00C73647"/>
    <w:rsid w:val="00C75244"/>
    <w:rsid w:val="00CA16B0"/>
    <w:rsid w:val="00CE485D"/>
    <w:rsid w:val="00D26D0C"/>
    <w:rsid w:val="00D27993"/>
    <w:rsid w:val="00D40745"/>
    <w:rsid w:val="00D623EF"/>
    <w:rsid w:val="00D71E01"/>
    <w:rsid w:val="00D87234"/>
    <w:rsid w:val="00DB0333"/>
    <w:rsid w:val="00DB0357"/>
    <w:rsid w:val="00DB4696"/>
    <w:rsid w:val="00DC383A"/>
    <w:rsid w:val="00DD125A"/>
    <w:rsid w:val="00DD6B56"/>
    <w:rsid w:val="00DF2BF5"/>
    <w:rsid w:val="00E02267"/>
    <w:rsid w:val="00E27539"/>
    <w:rsid w:val="00E309D0"/>
    <w:rsid w:val="00E51464"/>
    <w:rsid w:val="00E6032A"/>
    <w:rsid w:val="00E70345"/>
    <w:rsid w:val="00E7293A"/>
    <w:rsid w:val="00EB4930"/>
    <w:rsid w:val="00F61487"/>
    <w:rsid w:val="00F64D28"/>
    <w:rsid w:val="00F66269"/>
    <w:rsid w:val="00F75D55"/>
    <w:rsid w:val="00F94082"/>
    <w:rsid w:val="00FD7FF6"/>
    <w:rsid w:val="03951E2E"/>
    <w:rsid w:val="085C3B8D"/>
    <w:rsid w:val="0B3F14D4"/>
    <w:rsid w:val="26D960C4"/>
    <w:rsid w:val="2DA067D9"/>
    <w:rsid w:val="39783C80"/>
    <w:rsid w:val="3D7B789B"/>
    <w:rsid w:val="401427D1"/>
    <w:rsid w:val="43454BD3"/>
    <w:rsid w:val="45973E3A"/>
    <w:rsid w:val="47E56984"/>
    <w:rsid w:val="4C333C88"/>
    <w:rsid w:val="4D027691"/>
    <w:rsid w:val="51B47F59"/>
    <w:rsid w:val="63D95197"/>
    <w:rsid w:val="6AFB3C45"/>
    <w:rsid w:val="7DE37223"/>
    <w:rsid w:val="F57F787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1961</Words>
  <Characters>2125</Characters>
  <Lines>15</Lines>
  <Paragraphs>4</Paragraphs>
  <TotalTime>8</TotalTime>
  <ScaleCrop>false</ScaleCrop>
  <LinksUpToDate>false</LinksUpToDate>
  <CharactersWithSpaces>2153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2019-04-25T09:03:00Z</dcterms:created>
  <dc:creator>User</dc:creator>
  <cp:lastModifiedBy>Administrator</cp:lastModifiedBy>
  <cp:lastPrinted>2020-03-30T10:34:00Z</cp:lastPrinted>
  <dcterms:modified xsi:type="dcterms:W3CDTF">2023-01-07T09:02:04Z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8BE041EC6BBD461A94ADF04355922879</vt:lpwstr>
  </property>
</Properties>
</file>